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074C28C3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125B97" w:rsidRPr="00125B97">
        <w:rPr>
          <w:rFonts w:ascii="Garamond" w:hAnsi="Garamond"/>
          <w:b/>
          <w:bCs/>
          <w:sz w:val="20"/>
          <w:szCs w:val="20"/>
        </w:rPr>
        <w:t xml:space="preserve">Rekonštrukcia WC v DÚA – 4. Hala, areál DPB, </w:t>
      </w:r>
      <w:proofErr w:type="spellStart"/>
      <w:r w:rsidR="00125B97" w:rsidRPr="00125B97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125B97" w:rsidRPr="00125B97">
        <w:rPr>
          <w:rFonts w:ascii="Garamond" w:hAnsi="Garamond"/>
          <w:b/>
          <w:bCs/>
          <w:sz w:val="20"/>
          <w:szCs w:val="20"/>
        </w:rPr>
        <w:t>. Jurajov dvor _</w:t>
      </w:r>
      <w:r w:rsidR="007A3954">
        <w:rPr>
          <w:rFonts w:ascii="Garamond" w:hAnsi="Garamond"/>
          <w:b/>
          <w:bCs/>
          <w:sz w:val="20"/>
          <w:szCs w:val="20"/>
        </w:rPr>
        <w:t>01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15FA7855" w14:textId="42544BD6" w:rsidR="007A3954" w:rsidRPr="007A3954" w:rsidRDefault="00572AE0" w:rsidP="007A3954">
      <w:pPr>
        <w:pStyle w:val="Odsekzoznamu"/>
        <w:rPr>
          <w:rStyle w:val="Hypertextovprepojenie"/>
        </w:rPr>
      </w:pPr>
      <w:hyperlink r:id="rId6" w:history="1">
        <w:r w:rsidR="007A3954" w:rsidRPr="00305500">
          <w:rPr>
            <w:rStyle w:val="Hypertextovprepojenie"/>
            <w:rFonts w:ascii="Garamond" w:hAnsi="Garamond"/>
            <w:sz w:val="20"/>
            <w:szCs w:val="20"/>
          </w:rPr>
          <w:t>https://josephine.proebiz.com/sk/tender/51218/summary</w:t>
        </w:r>
      </w:hyperlink>
    </w:p>
    <w:p w14:paraId="224CC53A" w14:textId="4888EDA7" w:rsidR="00E85BC9" w:rsidRPr="00E85BC9" w:rsidRDefault="00572AE0" w:rsidP="007A3954">
      <w:pPr>
        <w:pStyle w:val="Odsekzoznamu"/>
        <w:rPr>
          <w:rStyle w:val="Hypertextovprepojenie"/>
        </w:rPr>
      </w:pPr>
      <w:hyperlink r:id="rId7" w:history="1">
        <w:r w:rsidR="007A3954" w:rsidRPr="00305500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9DF6F44" w14:textId="207AD808" w:rsidR="0042443D" w:rsidRDefault="007A3954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7A3954">
        <w:rPr>
          <w:rFonts w:ascii="Garamond" w:hAnsi="Garamond"/>
          <w:bCs/>
          <w:sz w:val="20"/>
          <w:szCs w:val="20"/>
        </w:rPr>
        <w:t>51218</w:t>
      </w:r>
    </w:p>
    <w:p w14:paraId="5A14FD50" w14:textId="77777777" w:rsidR="007A3954" w:rsidRPr="0033307F" w:rsidRDefault="007A3954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4C1CEB22" w14:textId="2F198B65" w:rsidR="00125B97" w:rsidRDefault="007A3954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7A3954">
        <w:rPr>
          <w:rFonts w:ascii="Garamond" w:eastAsiaTheme="minorEastAsia" w:hAnsi="Garamond"/>
          <w:sz w:val="20"/>
          <w:szCs w:val="20"/>
          <w:lang w:eastAsia="sk-SK"/>
        </w:rPr>
        <w:t xml:space="preserve">Rekonštrukcia WC v DÚA – 4. Hala, areál DPB, </w:t>
      </w:r>
      <w:proofErr w:type="spellStart"/>
      <w:r w:rsidRPr="007A3954">
        <w:rPr>
          <w:rFonts w:ascii="Garamond" w:eastAsiaTheme="minorEastAsia" w:hAnsi="Garamond"/>
          <w:sz w:val="20"/>
          <w:szCs w:val="20"/>
          <w:lang w:eastAsia="sk-SK"/>
        </w:rPr>
        <w:t>a.s</w:t>
      </w:r>
      <w:proofErr w:type="spellEnd"/>
      <w:r w:rsidRPr="007A3954">
        <w:rPr>
          <w:rFonts w:ascii="Garamond" w:eastAsiaTheme="minorEastAsia" w:hAnsi="Garamond"/>
          <w:sz w:val="20"/>
          <w:szCs w:val="20"/>
          <w:lang w:eastAsia="sk-SK"/>
        </w:rPr>
        <w:t>. Jurajov dvor _01_2024</w:t>
      </w:r>
    </w:p>
    <w:p w14:paraId="2589774A" w14:textId="77777777" w:rsidR="007A3954" w:rsidRDefault="007A3954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765FE231" w14:textId="31335CD5" w:rsidR="00E85BC9" w:rsidRDefault="007A3954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7A3954">
        <w:rPr>
          <w:rFonts w:ascii="Garamond" w:eastAsiaTheme="minorEastAsia" w:hAnsi="Garamond"/>
          <w:sz w:val="20"/>
          <w:szCs w:val="20"/>
          <w:lang w:eastAsia="sk-SK"/>
        </w:rPr>
        <w:t>DNS NL 3/2021-058</w:t>
      </w:r>
    </w:p>
    <w:p w14:paraId="4DE79942" w14:textId="77777777" w:rsidR="007A3954" w:rsidRPr="00B73F97" w:rsidRDefault="007A3954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B0800B2" w14:textId="77777777" w:rsidR="00125B97" w:rsidRP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Predmetom zákazky bude rekonštrukcia sociálnych zariadení a priestorov pre zamestnancov dopravného podniku Bratislava v areáli DPB, </w:t>
      </w:r>
      <w:proofErr w:type="spellStart"/>
      <w:r w:rsidRPr="00125B97">
        <w:rPr>
          <w:rFonts w:ascii="Garamond" w:hAnsi="Garamond"/>
          <w:sz w:val="20"/>
          <w:szCs w:val="20"/>
        </w:rPr>
        <w:t>a.s</w:t>
      </w:r>
      <w:proofErr w:type="spellEnd"/>
      <w:r w:rsidRPr="00125B97">
        <w:rPr>
          <w:rFonts w:ascii="Garamond" w:hAnsi="Garamond"/>
          <w:sz w:val="20"/>
          <w:szCs w:val="20"/>
        </w:rPr>
        <w:t>. – vozovňa Jurajov Dvor v zmysle technickej špecifikácie.</w:t>
      </w:r>
    </w:p>
    <w:p w14:paraId="2BF359ED" w14:textId="7D0FA179" w:rsidR="00E85BC9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Objekty:  Dielne údržby autobusov – 4. hala, I. NP /prízemie/, areál DPB, </w:t>
      </w:r>
      <w:proofErr w:type="spellStart"/>
      <w:r w:rsidRPr="00125B97">
        <w:rPr>
          <w:rFonts w:ascii="Garamond" w:hAnsi="Garamond"/>
          <w:sz w:val="20"/>
          <w:szCs w:val="20"/>
        </w:rPr>
        <w:t>a.s</w:t>
      </w:r>
      <w:proofErr w:type="spellEnd"/>
      <w:r w:rsidRPr="00125B97">
        <w:rPr>
          <w:rFonts w:ascii="Garamond" w:hAnsi="Garamond"/>
          <w:sz w:val="20"/>
          <w:szCs w:val="20"/>
        </w:rPr>
        <w:t>. Jurajov Dvor</w:t>
      </w:r>
    </w:p>
    <w:p w14:paraId="6F992DBE" w14:textId="77777777" w:rsid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>
        <w:rPr>
          <w:rFonts w:ascii="Garamond" w:hAnsi="Garamond"/>
          <w:b/>
          <w:bCs/>
          <w:sz w:val="20"/>
          <w:szCs w:val="20"/>
          <w:u w:val="single"/>
        </w:rPr>
        <w:t>:</w:t>
      </w:r>
    </w:p>
    <w:p w14:paraId="3A3F9F68" w14:textId="5E678BE7" w:rsidR="00E85BC9" w:rsidRPr="00D1493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</w:t>
      </w:r>
      <w:r>
        <w:rPr>
          <w:rFonts w:ascii="Garamond" w:hAnsi="Garamond"/>
          <w:b/>
          <w:bCs/>
          <w:sz w:val="20"/>
          <w:szCs w:val="20"/>
          <w:u w:val="single"/>
        </w:rPr>
        <w:t>1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A - Výkaz Výmer </w:t>
      </w:r>
    </w:p>
    <w:p w14:paraId="35D31BEB" w14:textId="4248D61E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</w:t>
      </w:r>
      <w:r>
        <w:rPr>
          <w:rFonts w:ascii="Garamond" w:hAnsi="Garamond"/>
          <w:b/>
          <w:bCs/>
          <w:sz w:val="20"/>
          <w:szCs w:val="20"/>
          <w:u w:val="single"/>
        </w:rPr>
        <w:t>1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B </w:t>
      </w:r>
      <w:r w:rsidR="003408E2">
        <w:rPr>
          <w:rFonts w:ascii="Garamond" w:hAnsi="Garamond"/>
          <w:b/>
          <w:bCs/>
          <w:sz w:val="20"/>
          <w:szCs w:val="20"/>
          <w:u w:val="single"/>
        </w:rPr>
        <w:t>–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="003408E2">
        <w:rPr>
          <w:rFonts w:ascii="Garamond" w:hAnsi="Garamond"/>
          <w:b/>
          <w:bCs/>
          <w:sz w:val="20"/>
          <w:szCs w:val="20"/>
          <w:u w:val="single"/>
        </w:rPr>
        <w:t>Pôdorys priestorov</w:t>
      </w:r>
      <w:r w:rsidR="00125B97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="00125B97" w:rsidRPr="00125B97">
        <w:rPr>
          <w:rFonts w:ascii="Garamond" w:hAnsi="Garamond"/>
          <w:b/>
          <w:bCs/>
          <w:sz w:val="20"/>
          <w:szCs w:val="20"/>
          <w:u w:val="single"/>
        </w:rPr>
        <w:t>WC v DÚA – 4. Hala, prízemie</w:t>
      </w:r>
    </w:p>
    <w:p w14:paraId="022D06E6" w14:textId="2792FD74" w:rsidR="00125B97" w:rsidRDefault="00125B97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● Príloha </w:t>
      </w:r>
      <w:r>
        <w:rPr>
          <w:rFonts w:ascii="Garamond" w:hAnsi="Garamond"/>
          <w:b/>
          <w:bCs/>
          <w:sz w:val="20"/>
          <w:szCs w:val="20"/>
          <w:u w:val="single"/>
        </w:rPr>
        <w:t>1C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>
        <w:rPr>
          <w:rFonts w:ascii="Garamond" w:hAnsi="Garamond"/>
          <w:b/>
          <w:bCs/>
          <w:sz w:val="20"/>
          <w:szCs w:val="20"/>
          <w:u w:val="single"/>
        </w:rPr>
        <w:t>–</w:t>
      </w:r>
      <w:r w:rsidRPr="00D149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proofErr w:type="spellStart"/>
      <w:r w:rsidRPr="00125B97">
        <w:rPr>
          <w:rFonts w:ascii="Garamond" w:hAnsi="Garamond"/>
          <w:b/>
          <w:bCs/>
          <w:sz w:val="20"/>
          <w:szCs w:val="20"/>
          <w:u w:val="single"/>
        </w:rPr>
        <w:t>foto</w:t>
      </w:r>
      <w:proofErr w:type="spellEnd"/>
      <w:r w:rsidRPr="00125B97">
        <w:rPr>
          <w:rFonts w:ascii="Garamond" w:hAnsi="Garamond"/>
          <w:b/>
          <w:bCs/>
          <w:sz w:val="20"/>
          <w:szCs w:val="20"/>
          <w:u w:val="single"/>
        </w:rPr>
        <w:t xml:space="preserve"> WC 4. hala</w:t>
      </w:r>
    </w:p>
    <w:p w14:paraId="7E3887E4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lastRenderedPageBreak/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3E5B936B" w:rsidR="00E85BC9" w:rsidRPr="0033307F" w:rsidRDefault="007A3954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27 </w:t>
      </w:r>
      <w:r w:rsidR="00125B97">
        <w:rPr>
          <w:rFonts w:ascii="Garamond" w:hAnsi="Garamond"/>
          <w:b/>
          <w:sz w:val="20"/>
          <w:szCs w:val="20"/>
        </w:rPr>
        <w:t>000</w:t>
      </w:r>
      <w:r w:rsidR="00E85BC9">
        <w:rPr>
          <w:rFonts w:ascii="Garamond" w:hAnsi="Garamond"/>
          <w:b/>
          <w:sz w:val="20"/>
          <w:szCs w:val="20"/>
        </w:rPr>
        <w:t>,00</w:t>
      </w:r>
      <w:r w:rsidR="00E85BC9">
        <w:rPr>
          <w:rFonts w:ascii="Garamond" w:hAnsi="Garamond"/>
          <w:b/>
        </w:rPr>
        <w:t xml:space="preserve"> </w:t>
      </w:r>
      <w:r w:rsidR="00E85BC9" w:rsidRPr="0044673E">
        <w:rPr>
          <w:rFonts w:ascii="Garamond" w:hAnsi="Garamond"/>
          <w:b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dynamického nákupného systému</w:t>
      </w:r>
    </w:p>
    <w:p w14:paraId="7C82D0CB" w14:textId="77777777" w:rsidR="00125B97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>
        <w:rPr>
          <w:rFonts w:ascii="Garamond" w:hAnsi="Garamond"/>
          <w:b/>
          <w:sz w:val="20"/>
          <w:szCs w:val="20"/>
        </w:rPr>
        <w:t>uskutočnenia SP</w:t>
      </w:r>
      <w:r>
        <w:rPr>
          <w:rFonts w:ascii="Garamond" w:hAnsi="Garamond"/>
          <w:bCs/>
          <w:sz w:val="20"/>
          <w:szCs w:val="20"/>
        </w:rPr>
        <w:t xml:space="preserve">: </w:t>
      </w:r>
      <w:r w:rsidR="00125B97" w:rsidRPr="00125B97">
        <w:rPr>
          <w:rFonts w:ascii="Garamond" w:hAnsi="Garamond"/>
          <w:sz w:val="20"/>
          <w:szCs w:val="20"/>
        </w:rPr>
        <w:t xml:space="preserve">Dielne údržby autobusov – 4. hala, I. NP /prízemie/, areál DPB, </w:t>
      </w:r>
      <w:proofErr w:type="spellStart"/>
      <w:r w:rsidR="00125B97" w:rsidRPr="00125B97">
        <w:rPr>
          <w:rFonts w:ascii="Garamond" w:hAnsi="Garamond"/>
          <w:sz w:val="20"/>
          <w:szCs w:val="20"/>
        </w:rPr>
        <w:t>a.s</w:t>
      </w:r>
      <w:proofErr w:type="spellEnd"/>
      <w:r w:rsidR="00125B97" w:rsidRPr="00125B97">
        <w:rPr>
          <w:rFonts w:ascii="Garamond" w:hAnsi="Garamond"/>
          <w:sz w:val="20"/>
          <w:szCs w:val="20"/>
        </w:rPr>
        <w:t>. Jurajov Dvor</w:t>
      </w:r>
    </w:p>
    <w:p w14:paraId="6C63F0B8" w14:textId="6DEEC830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realizácie</w:t>
      </w:r>
      <w:r w:rsidRPr="006B79B6">
        <w:rPr>
          <w:rFonts w:ascii="Garamond" w:hAnsi="Garamond"/>
          <w:bCs/>
          <w:sz w:val="20"/>
          <w:szCs w:val="20"/>
        </w:rPr>
        <w:t>: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944EC2" w:rsidRPr="00944EC2">
        <w:rPr>
          <w:rFonts w:ascii="Garamond" w:hAnsi="Garamond"/>
          <w:bCs/>
          <w:sz w:val="20"/>
          <w:szCs w:val="20"/>
        </w:rPr>
        <w:t>do 60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CE3EC1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Pavol Janoviak, mail:  </w:t>
      </w:r>
      <w:hyperlink r:id="rId8" w:history="1">
        <w:r w:rsidRPr="00D14932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D14932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b/>
          <w:bCs/>
          <w:sz w:val="20"/>
          <w:szCs w:val="20"/>
        </w:rPr>
        <w:t xml:space="preserve"> mobil: </w:t>
      </w:r>
      <w:r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918 851 067</w:t>
      </w:r>
    </w:p>
    <w:p w14:paraId="079024DA" w14:textId="030B575F" w:rsidR="00E85BC9" w:rsidRDefault="003408E2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Peter Lovecký</w:t>
      </w:r>
      <w:r w:rsidR="00E85BC9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6B718F">
          <w:rPr>
            <w:rStyle w:val="Hypertextovprepojenie"/>
            <w:rFonts w:ascii="Garamond" w:hAnsi="Garamond"/>
            <w:sz w:val="20"/>
            <w:szCs w:val="20"/>
          </w:rPr>
          <w:t>lovecky.peter@dpb.sk</w:t>
        </w:r>
      </w:hyperlink>
      <w:r w:rsidR="00E85BC9">
        <w:rPr>
          <w:rFonts w:ascii="Garamond" w:hAnsi="Garamond"/>
          <w:b/>
          <w:bCs/>
          <w:sz w:val="20"/>
          <w:szCs w:val="20"/>
        </w:rPr>
        <w:t xml:space="preserve">, mobil: </w:t>
      </w:r>
      <w:r w:rsidR="00E85BC9" w:rsidRPr="00995ED2">
        <w:rPr>
          <w:rFonts w:ascii="Garamond" w:hAnsi="Garamond"/>
          <w:sz w:val="20"/>
          <w:szCs w:val="20"/>
        </w:rPr>
        <w:t>+421</w:t>
      </w:r>
      <w:r>
        <w:rPr>
          <w:rFonts w:ascii="Garamond" w:hAnsi="Garamond"/>
          <w:sz w:val="20"/>
          <w:szCs w:val="20"/>
        </w:rPr>
        <w:t> 911 105 374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49466D" w:rsidRDefault="003408E2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</w:t>
      </w:r>
      <w:r w:rsidR="00A433C8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dielo</w:t>
      </w:r>
      <w:r w:rsidR="00A433C8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2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2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35"/>
      <w:bookmarkEnd w:id="1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3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7093D743" w14:textId="77777777" w:rsidR="00E85BC9" w:rsidRPr="0065161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02C6EB6E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>
        <w:rPr>
          <w:rFonts w:ascii="Garamond" w:hAnsi="Garamond"/>
          <w:bCs/>
          <w:sz w:val="20"/>
          <w:szCs w:val="20"/>
        </w:rPr>
        <w:t xml:space="preserve">y </w:t>
      </w:r>
      <w:r w:rsidRPr="008A21C0">
        <w:rPr>
          <w:rFonts w:ascii="Garamond" w:hAnsi="Garamond"/>
          <w:bCs/>
          <w:sz w:val="20"/>
          <w:szCs w:val="20"/>
        </w:rPr>
        <w:t>č. 1</w:t>
      </w:r>
      <w:r>
        <w:rPr>
          <w:rFonts w:ascii="Garamond" w:hAnsi="Garamond"/>
          <w:bCs/>
          <w:sz w:val="20"/>
          <w:szCs w:val="20"/>
        </w:rPr>
        <w:t>A a 1B</w:t>
      </w:r>
      <w:r w:rsidR="00125B97">
        <w:rPr>
          <w:rFonts w:ascii="Garamond" w:hAnsi="Garamond"/>
          <w:bCs/>
          <w:sz w:val="20"/>
          <w:szCs w:val="20"/>
        </w:rPr>
        <w:t xml:space="preserve"> a 1C</w:t>
      </w:r>
      <w:r w:rsidRPr="008A21C0">
        <w:rPr>
          <w:rFonts w:ascii="Garamond" w:hAnsi="Garamond"/>
          <w:bCs/>
          <w:sz w:val="20"/>
          <w:szCs w:val="20"/>
        </w:rPr>
        <w:t xml:space="preserve"> tejto výzvy na predloženie ponuky bud</w:t>
      </w:r>
      <w:r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 dielo</w:t>
      </w: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lastRenderedPageBreak/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1AFDEA1D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5D68BD">
        <w:rPr>
          <w:rFonts w:ascii="Garamond" w:hAnsi="Garamond"/>
          <w:b/>
          <w:sz w:val="20"/>
          <w:szCs w:val="20"/>
        </w:rPr>
        <w:t xml:space="preserve"> </w:t>
      </w:r>
      <w:r w:rsidR="007A3954">
        <w:rPr>
          <w:rFonts w:ascii="Garamond" w:hAnsi="Garamond"/>
          <w:b/>
          <w:sz w:val="20"/>
          <w:szCs w:val="20"/>
        </w:rPr>
        <w:t>1</w:t>
      </w:r>
      <w:r w:rsidR="00572AE0">
        <w:rPr>
          <w:rFonts w:ascii="Garamond" w:hAnsi="Garamond"/>
          <w:b/>
          <w:sz w:val="20"/>
          <w:szCs w:val="20"/>
        </w:rPr>
        <w:t>9</w:t>
      </w:r>
      <w:r w:rsidR="007A3954">
        <w:rPr>
          <w:rFonts w:ascii="Garamond" w:hAnsi="Garamond"/>
          <w:b/>
          <w:sz w:val="20"/>
          <w:szCs w:val="20"/>
        </w:rPr>
        <w:t>.01.2024</w:t>
      </w:r>
      <w:r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1</w:t>
      </w:r>
      <w:r w:rsidRPr="005D68BD">
        <w:rPr>
          <w:rFonts w:ascii="Garamond" w:hAnsi="Garamond"/>
          <w:b/>
          <w:sz w:val="20"/>
          <w:szCs w:val="20"/>
        </w:rPr>
        <w:t>:00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572AE0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369B09F3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7A3954">
        <w:rPr>
          <w:rFonts w:ascii="Garamond" w:hAnsi="Garamond"/>
          <w:b/>
          <w:sz w:val="20"/>
          <w:szCs w:val="20"/>
        </w:rPr>
        <w:t>1</w:t>
      </w:r>
      <w:r w:rsidR="00572AE0">
        <w:rPr>
          <w:rFonts w:ascii="Garamond" w:hAnsi="Garamond"/>
          <w:b/>
          <w:sz w:val="20"/>
          <w:szCs w:val="20"/>
        </w:rPr>
        <w:t>9</w:t>
      </w:r>
      <w:r w:rsidR="007A3954">
        <w:rPr>
          <w:rFonts w:ascii="Garamond" w:hAnsi="Garamond"/>
          <w:b/>
          <w:sz w:val="20"/>
          <w:szCs w:val="20"/>
        </w:rPr>
        <w:t>.01.2024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58909404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7A3954">
        <w:rPr>
          <w:rFonts w:ascii="Garamond" w:hAnsi="Garamond"/>
          <w:b/>
          <w:sz w:val="20"/>
          <w:szCs w:val="20"/>
        </w:rPr>
        <w:t>0</w:t>
      </w:r>
      <w:r w:rsidR="00572AE0">
        <w:rPr>
          <w:rFonts w:ascii="Garamond" w:hAnsi="Garamond"/>
          <w:b/>
          <w:sz w:val="20"/>
          <w:szCs w:val="20"/>
        </w:rPr>
        <w:t>8</w:t>
      </w:r>
      <w:r w:rsidR="007A3954">
        <w:rPr>
          <w:rFonts w:ascii="Garamond" w:hAnsi="Garamond"/>
          <w:b/>
          <w:sz w:val="20"/>
          <w:szCs w:val="20"/>
        </w:rPr>
        <w:t>.01.2024</w:t>
      </w: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>
        <w:rPr>
          <w:rFonts w:ascii="Garamond" w:hAnsi="Garamond"/>
          <w:sz w:val="20"/>
          <w:szCs w:val="20"/>
        </w:rPr>
        <w:t xml:space="preserve">1A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7ACBE35E" w14:textId="727BBA74" w:rsidR="00E85BC9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 xml:space="preserve">1B – </w:t>
      </w:r>
      <w:r w:rsidR="00A433C8" w:rsidRPr="00944EC2">
        <w:rPr>
          <w:rFonts w:ascii="Garamond" w:hAnsi="Garamond"/>
          <w:sz w:val="20"/>
          <w:szCs w:val="20"/>
        </w:rPr>
        <w:t>Pôdorys priestorov</w:t>
      </w:r>
    </w:p>
    <w:p w14:paraId="34C683F8" w14:textId="2A6715B2" w:rsidR="00841CEF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1C - </w:t>
      </w:r>
      <w:proofErr w:type="spellStart"/>
      <w:r>
        <w:rPr>
          <w:rFonts w:ascii="Garamond" w:hAnsi="Garamond"/>
          <w:sz w:val="20"/>
          <w:szCs w:val="20"/>
        </w:rPr>
        <w:t>F</w:t>
      </w:r>
      <w:r w:rsidRPr="00841CEF">
        <w:rPr>
          <w:rFonts w:ascii="Garamond" w:hAnsi="Garamond"/>
          <w:sz w:val="20"/>
          <w:szCs w:val="20"/>
        </w:rPr>
        <w:t>oto</w:t>
      </w:r>
      <w:proofErr w:type="spellEnd"/>
      <w:r w:rsidRPr="00841CEF">
        <w:rPr>
          <w:rFonts w:ascii="Garamond" w:hAnsi="Garamond"/>
          <w:sz w:val="20"/>
          <w:szCs w:val="20"/>
        </w:rPr>
        <w:t xml:space="preserve"> WC 4. hala</w:t>
      </w:r>
    </w:p>
    <w:bookmarkEnd w:id="4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944EC2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0148A0A7" w14:textId="77777777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vedúci oddelenia</w:t>
      </w:r>
      <w:r w:rsidRPr="000924A7">
        <w:rPr>
          <w:rFonts w:ascii="Garamond" w:hAnsi="Garamond"/>
          <w:sz w:val="20"/>
          <w:szCs w:val="20"/>
        </w:rPr>
        <w:t> verejného obstaráva</w:t>
      </w:r>
      <w:bookmarkStart w:id="5" w:name="_Hlk30413330"/>
      <w:r>
        <w:rPr>
          <w:rFonts w:ascii="Garamond" w:hAnsi="Garamond"/>
          <w:sz w:val="20"/>
          <w:szCs w:val="20"/>
        </w:rPr>
        <w:t>nia</w:t>
      </w:r>
    </w:p>
    <w:bookmarkEnd w:id="5"/>
    <w:p w14:paraId="5A47E289" w14:textId="77777777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A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/>
          <w:bCs/>
          <w:sz w:val="20"/>
          <w:szCs w:val="20"/>
        </w:rPr>
        <w:t>Výkaz výmer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5B55CC94" w14:textId="77777777" w:rsidR="00E85BC9" w:rsidRDefault="00E85BC9" w:rsidP="00E85BC9">
      <w:pPr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br w:type="page"/>
      </w:r>
    </w:p>
    <w:p w14:paraId="059629AD" w14:textId="19EA9F80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B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A433C8">
        <w:rPr>
          <w:rFonts w:ascii="Garamond" w:hAnsi="Garamond" w:cs="Arial"/>
          <w:b/>
          <w:bCs/>
          <w:sz w:val="20"/>
          <w:szCs w:val="20"/>
        </w:rPr>
        <w:t>Pôdorys priestorov</w:t>
      </w:r>
    </w:p>
    <w:p w14:paraId="6CC99881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CEC71B8" w14:textId="5854FB65" w:rsidR="00841CEF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bookmarkStart w:id="6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4F3D3412" w14:textId="77777777" w:rsidR="00841CEF" w:rsidRDefault="00841CEF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65750C72" w14:textId="2B47A9D3" w:rsidR="00841CEF" w:rsidRPr="00133CDD" w:rsidRDefault="00841CEF" w:rsidP="00841CEF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C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Garamond" w:hAnsi="Garamond" w:cs="Arial"/>
          <w:b/>
          <w:bCs/>
          <w:sz w:val="20"/>
          <w:szCs w:val="20"/>
        </w:rPr>
        <w:t>F</w:t>
      </w:r>
      <w:r w:rsidRPr="00841CEF">
        <w:rPr>
          <w:rFonts w:ascii="Garamond" w:hAnsi="Garamond" w:cs="Arial"/>
          <w:b/>
          <w:bCs/>
          <w:sz w:val="20"/>
          <w:szCs w:val="20"/>
        </w:rPr>
        <w:t>oto</w:t>
      </w:r>
      <w:proofErr w:type="spellEnd"/>
      <w:r w:rsidRPr="00841CEF">
        <w:rPr>
          <w:rFonts w:ascii="Garamond" w:hAnsi="Garamond" w:cs="Arial"/>
          <w:b/>
          <w:bCs/>
          <w:sz w:val="20"/>
          <w:szCs w:val="20"/>
        </w:rPr>
        <w:t xml:space="preserve"> WC 4. hala</w:t>
      </w:r>
    </w:p>
    <w:p w14:paraId="566B58BD" w14:textId="77777777" w:rsidR="00841CEF" w:rsidRPr="0033307F" w:rsidRDefault="00841CEF" w:rsidP="00841CEF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6F383701" w14:textId="77777777" w:rsidR="00841CEF" w:rsidRPr="00DC1937" w:rsidRDefault="00841CEF" w:rsidP="00841CEF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12CA223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bookmarkEnd w:id="6"/>
    <w:p w14:paraId="65D36633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7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7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8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9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8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9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1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1"/>
    <w:p w14:paraId="4A5DD599" w14:textId="77777777" w:rsidR="00062A74" w:rsidRDefault="00062A74"/>
    <w:sectPr w:rsidR="00062A74" w:rsidSect="00944EC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3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4"/>
  </w:num>
  <w:num w:numId="5" w16cid:durableId="1921863472">
    <w:abstractNumId w:val="6"/>
  </w:num>
  <w:num w:numId="6" w16cid:durableId="475487916">
    <w:abstractNumId w:val="1"/>
  </w:num>
  <w:num w:numId="7" w16cid:durableId="62890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62A74"/>
    <w:rsid w:val="000F6CD2"/>
    <w:rsid w:val="00125B97"/>
    <w:rsid w:val="00212DBC"/>
    <w:rsid w:val="0027731E"/>
    <w:rsid w:val="00292DC9"/>
    <w:rsid w:val="0030545B"/>
    <w:rsid w:val="003408E2"/>
    <w:rsid w:val="0042443D"/>
    <w:rsid w:val="0049466D"/>
    <w:rsid w:val="004C0324"/>
    <w:rsid w:val="00572AE0"/>
    <w:rsid w:val="00616BBF"/>
    <w:rsid w:val="00680958"/>
    <w:rsid w:val="0069477B"/>
    <w:rsid w:val="006D694D"/>
    <w:rsid w:val="007A3954"/>
    <w:rsid w:val="00841CEF"/>
    <w:rsid w:val="00944EC2"/>
    <w:rsid w:val="00A433C8"/>
    <w:rsid w:val="00B04B9A"/>
    <w:rsid w:val="00C11EB1"/>
    <w:rsid w:val="00C70C00"/>
    <w:rsid w:val="00E85BC9"/>
    <w:rsid w:val="00E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1218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ovecky.peter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cp:lastPrinted>2023-11-08T16:27:00Z</cp:lastPrinted>
  <dcterms:created xsi:type="dcterms:W3CDTF">2023-10-24T09:04:00Z</dcterms:created>
  <dcterms:modified xsi:type="dcterms:W3CDTF">2024-01-08T06:25:00Z</dcterms:modified>
</cp:coreProperties>
</file>